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  <w:gridCol w:w="1321"/>
      </w:tblGrid>
      <w:tr w:rsidR="009F60D2" w:rsidRPr="00666491" w:rsidTr="001015B5">
        <w:trPr>
          <w:gridAfter w:val="1"/>
          <w:wAfter w:w="1321" w:type="dxa"/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244AF0" w:rsidP="00666491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733675" cy="8477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1015B5">
        <w:trPr>
          <w:gridAfter w:val="1"/>
          <w:wAfter w:w="1321" w:type="dxa"/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A37B2B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DIRECTA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BC02C6">
              <w:rPr>
                <w:b/>
                <w:sz w:val="40"/>
                <w:szCs w:val="32"/>
              </w:rPr>
              <w:t>042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BC0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7E6">
              <w:rPr>
                <w:sz w:val="24"/>
                <w:szCs w:val="24"/>
              </w:rPr>
              <w:t xml:space="preserve">Emisión   </w:t>
            </w:r>
            <w:r w:rsidR="00BC02C6">
              <w:rPr>
                <w:b/>
                <w:sz w:val="24"/>
                <w:szCs w:val="24"/>
              </w:rPr>
              <w:t>31</w:t>
            </w:r>
            <w:r w:rsidRPr="00AB17E6">
              <w:rPr>
                <w:b/>
                <w:sz w:val="24"/>
                <w:szCs w:val="24"/>
              </w:rPr>
              <w:t>/0</w:t>
            </w:r>
            <w:r w:rsidR="00F4565B" w:rsidRPr="00AB17E6">
              <w:rPr>
                <w:b/>
                <w:sz w:val="24"/>
                <w:szCs w:val="24"/>
              </w:rPr>
              <w:t>8</w:t>
            </w:r>
            <w:r w:rsidRPr="00AB17E6">
              <w:rPr>
                <w:b/>
                <w:sz w:val="24"/>
                <w:szCs w:val="24"/>
              </w:rPr>
              <w:t>/</w:t>
            </w:r>
            <w:r w:rsidRPr="00666491">
              <w:rPr>
                <w:b/>
                <w:sz w:val="24"/>
                <w:szCs w:val="24"/>
              </w:rPr>
              <w:t>2017</w:t>
            </w:r>
          </w:p>
        </w:tc>
      </w:tr>
      <w:tr w:rsidR="00673CF8" w:rsidRPr="00666491" w:rsidTr="001015B5">
        <w:trPr>
          <w:gridAfter w:val="1"/>
          <w:wAfter w:w="1321" w:type="dxa"/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A37B2B" w:rsidP="00AB17E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Ref. </w:t>
            </w:r>
            <w:r w:rsidR="00AB17E6">
              <w:rPr>
                <w:b/>
                <w:i/>
              </w:rPr>
              <w:t>Adquisición de material desinfectante y/o de seguridad e higiene</w:t>
            </w:r>
            <w:r w:rsidR="00AB17E6" w:rsidRPr="00C8283A">
              <w:rPr>
                <w:b/>
                <w:i/>
              </w:rPr>
              <w:t xml:space="preserve"> para</w:t>
            </w:r>
            <w:r w:rsidR="00AB17E6">
              <w:rPr>
                <w:b/>
                <w:i/>
              </w:rPr>
              <w:t xml:space="preserve"> el Hospital Cuenca Alta. SAMIC</w:t>
            </w:r>
            <w:r w:rsidR="00BC1202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9F60D2" w:rsidRPr="00666491" w:rsidTr="001015B5">
        <w:trPr>
          <w:gridAfter w:val="1"/>
          <w:wAfter w:w="1321" w:type="dxa"/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Provisión:</w:t>
            </w:r>
            <w:r w:rsidR="00C87A28" w:rsidRPr="004A0663">
              <w:rPr>
                <w:b/>
              </w:rPr>
              <w:t xml:space="preserve"> </w:t>
            </w:r>
            <w:r w:rsidR="00BC02C6">
              <w:rPr>
                <w:b/>
              </w:rPr>
              <w:t>53</w:t>
            </w:r>
            <w:r w:rsidR="00C87A28" w:rsidRPr="004A0663">
              <w:rPr>
                <w:b/>
              </w:rPr>
              <w:t>-</w:t>
            </w:r>
            <w:r w:rsidR="00C87A28" w:rsidRPr="00AB17E6">
              <w:rPr>
                <w:b/>
              </w:rPr>
              <w:t>2017</w:t>
            </w:r>
            <w:r w:rsidR="00B97484">
              <w:rPr>
                <w:b/>
              </w:rPr>
              <w:t xml:space="preserve"> </w:t>
            </w:r>
            <w:r w:rsidRPr="004A0663">
              <w:t xml:space="preserve">Fecha </w:t>
            </w:r>
            <w:r w:rsidR="00267AE6">
              <w:rPr>
                <w:b/>
              </w:rPr>
              <w:t>29</w:t>
            </w:r>
            <w:r w:rsidRPr="004A0663">
              <w:rPr>
                <w:b/>
              </w:rPr>
              <w:t>/0</w:t>
            </w:r>
            <w:r w:rsidR="00267AE6">
              <w:rPr>
                <w:b/>
              </w:rPr>
              <w:t>8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043"/>
        </w:trPr>
        <w:tc>
          <w:tcPr>
            <w:tcW w:w="9923" w:type="dxa"/>
            <w:gridSpan w:val="5"/>
          </w:tcPr>
          <w:p w:rsidR="00F4565B" w:rsidRDefault="008A6840" w:rsidP="00B34D28">
            <w:pPr>
              <w:spacing w:before="120" w:after="0" w:line="240" w:lineRule="auto"/>
              <w:rPr>
                <w:b/>
                <w:sz w:val="32"/>
                <w:szCs w:val="24"/>
              </w:rPr>
            </w:pPr>
            <w:r w:rsidRPr="008A6840">
              <w:rPr>
                <w:b/>
                <w:sz w:val="32"/>
                <w:szCs w:val="24"/>
                <w:u w:val="single"/>
              </w:rPr>
              <w:t>FECHA DE</w:t>
            </w:r>
            <w:r w:rsidR="00DA7CD2">
              <w:rPr>
                <w:b/>
                <w:sz w:val="32"/>
                <w:szCs w:val="24"/>
                <w:u w:val="single"/>
              </w:rPr>
              <w:t xml:space="preserve"> </w:t>
            </w:r>
            <w:r w:rsidRPr="008A6840">
              <w:rPr>
                <w:b/>
                <w:sz w:val="32"/>
                <w:szCs w:val="24"/>
                <w:u w:val="single"/>
              </w:rPr>
              <w:t>APERTURA</w:t>
            </w:r>
            <w:r w:rsidRPr="0079368A">
              <w:rPr>
                <w:b/>
                <w:sz w:val="32"/>
                <w:szCs w:val="24"/>
                <w:u w:val="single"/>
              </w:rPr>
              <w:t>:</w:t>
            </w:r>
            <w:r w:rsidR="00753C78" w:rsidRPr="0079368A">
              <w:rPr>
                <w:b/>
                <w:sz w:val="32"/>
                <w:szCs w:val="24"/>
              </w:rPr>
              <w:t xml:space="preserve"> </w:t>
            </w:r>
            <w:r w:rsidR="00AB17E6">
              <w:rPr>
                <w:b/>
                <w:sz w:val="32"/>
                <w:szCs w:val="24"/>
              </w:rPr>
              <w:t>m</w:t>
            </w:r>
            <w:r w:rsidR="00236439" w:rsidRPr="0079368A">
              <w:rPr>
                <w:b/>
                <w:sz w:val="32"/>
                <w:szCs w:val="24"/>
              </w:rPr>
              <w:t>iércoles</w:t>
            </w:r>
            <w:r w:rsidR="00F4565B" w:rsidRPr="0079368A">
              <w:rPr>
                <w:b/>
                <w:sz w:val="32"/>
                <w:szCs w:val="24"/>
              </w:rPr>
              <w:t xml:space="preserve"> </w:t>
            </w:r>
            <w:r w:rsidR="00AB17E6">
              <w:rPr>
                <w:b/>
                <w:sz w:val="32"/>
                <w:szCs w:val="24"/>
              </w:rPr>
              <w:t>06 de septiembre</w:t>
            </w:r>
            <w:r w:rsidR="00175F7A" w:rsidRPr="0079368A">
              <w:rPr>
                <w:b/>
                <w:sz w:val="32"/>
                <w:szCs w:val="24"/>
              </w:rPr>
              <w:t xml:space="preserve"> de 2017 -HORA 1</w:t>
            </w:r>
            <w:r w:rsidR="00BC02C6">
              <w:rPr>
                <w:b/>
                <w:sz w:val="32"/>
                <w:szCs w:val="24"/>
              </w:rPr>
              <w:t>4</w:t>
            </w:r>
            <w:r w:rsidRPr="0079368A">
              <w:rPr>
                <w:b/>
                <w:sz w:val="32"/>
                <w:szCs w:val="24"/>
              </w:rPr>
              <w:t>:00 HS.</w:t>
            </w:r>
          </w:p>
          <w:p w:rsidR="008A6840" w:rsidRPr="008A6840" w:rsidRDefault="008A6840" w:rsidP="00B34D28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SEDE DE LA OFICINA DE COMPRAS Y SUMINISTROS DEL HOSPITALCUANCA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47B">
              <w:rPr>
                <w:b/>
                <w:color w:val="000000"/>
                <w:sz w:val="16"/>
                <w:szCs w:val="16"/>
              </w:rPr>
              <w:t>Referencia / Observación</w:t>
            </w:r>
          </w:p>
        </w:tc>
        <w:tc>
          <w:tcPr>
            <w:tcW w:w="1321" w:type="dxa"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Stock Actual</w:t>
            </w: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587" w:rsidRDefault="001015B5" w:rsidP="001015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CAMILLA QUIRURGICA RADIOTRANSLUCIDA</w:t>
            </w:r>
            <w:r w:rsidR="00844587">
              <w:rPr>
                <w:b/>
                <w:color w:val="000000"/>
                <w:sz w:val="24"/>
                <w:szCs w:val="24"/>
              </w:rPr>
              <w:br/>
            </w:r>
            <w:r w:rsidR="00844587">
              <w:t xml:space="preserve">Apta para cirugía ginecológica, </w:t>
            </w:r>
            <w:r w:rsidR="00844587" w:rsidRPr="00081919">
              <w:t>cesáreas</w:t>
            </w:r>
            <w:r w:rsidR="00844587">
              <w:t xml:space="preserve"> y cirugía general</w:t>
            </w:r>
            <w:r w:rsidR="00844587" w:rsidRPr="00081919">
              <w:t xml:space="preserve">, con soporte de peso superior a los 180 kg, que permita movimientos </w:t>
            </w:r>
            <w:proofErr w:type="spellStart"/>
            <w:r w:rsidR="00844587" w:rsidRPr="00081919">
              <w:t>Trendelemburg</w:t>
            </w:r>
            <w:proofErr w:type="spellEnd"/>
            <w:r w:rsidR="00844587" w:rsidRPr="00081919">
              <w:t xml:space="preserve"> y anti-</w:t>
            </w:r>
            <w:proofErr w:type="spellStart"/>
            <w:r w:rsidR="00844587" w:rsidRPr="00081919">
              <w:t>Trendelemburg</w:t>
            </w:r>
            <w:proofErr w:type="spellEnd"/>
            <w:r w:rsidR="00844587" w:rsidRPr="00081919">
              <w:t xml:space="preserve">, inclinación lateral, ajuste de altura, deslizamiento longitudinal, </w:t>
            </w:r>
            <w:r w:rsidR="00844587">
              <w:t xml:space="preserve">elevador de riñones, </w:t>
            </w:r>
            <w:r w:rsidR="00844587" w:rsidRPr="00081919">
              <w:t xml:space="preserve">ajuste de los movimientos a pedalera y/o eléctrico, construida en material resistente al  oxido, preferentemente en acero inoxidable, contar con </w:t>
            </w:r>
            <w:r w:rsidR="00844587">
              <w:t xml:space="preserve">fijación de hombros, </w:t>
            </w:r>
            <w:r w:rsidR="00844587" w:rsidRPr="00081919">
              <w:t xml:space="preserve">perneras y apoyo de pie hasta 90 grados de apertura y/o similar, 2 (dos) apoyabrazos con la correspondiente fijación, paneles de apoyo desmontables, un par de manijas para partos con </w:t>
            </w:r>
            <w:r w:rsidR="00844587">
              <w:t>fijación a los rieles laterales, apoyo completo radio-translucido, desde el cabezal al podálico para la utilización del arco en C, apoyo rodante adecuado a la estructura y freno total. Debe contar con un acolchado radio translúcido, impermeable a líquidos, sin efecto de memoria.</w:t>
            </w:r>
          </w:p>
          <w:p w:rsidR="00844587" w:rsidRPr="00DA782F" w:rsidRDefault="00844587" w:rsidP="001015B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Pr="00DA782F" w:rsidRDefault="001015B5" w:rsidP="001015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CAMILLA QUIRURGICA</w:t>
            </w:r>
            <w:r w:rsidR="00844587">
              <w:rPr>
                <w:b/>
                <w:color w:val="000000"/>
                <w:sz w:val="24"/>
                <w:szCs w:val="24"/>
              </w:rPr>
              <w:br/>
            </w:r>
            <w:r w:rsidR="00844587">
              <w:t xml:space="preserve">Apta para cirugía ginecológica y cesáreas, con soporte de peso superior a los 180 kg, que permita movimientos </w:t>
            </w:r>
            <w:proofErr w:type="spellStart"/>
            <w:r w:rsidR="00844587">
              <w:t>Trendelemburg</w:t>
            </w:r>
            <w:proofErr w:type="spellEnd"/>
            <w:r w:rsidR="00844587">
              <w:t xml:space="preserve"> y anti-</w:t>
            </w:r>
            <w:proofErr w:type="spellStart"/>
            <w:r w:rsidR="00844587">
              <w:t>Trendelemburg</w:t>
            </w:r>
            <w:proofErr w:type="spellEnd"/>
            <w:r w:rsidR="00844587">
              <w:t>, inclinación lateral, ajuste de altura, deslizamiento longitudinal, ajuste de los movimientos a pedalera y/o eléctrico, construida en material resistente al  oxido, preferentemente en acero inoxidable, contar con</w:t>
            </w:r>
            <w:r w:rsidR="00844587" w:rsidRPr="00D476F2">
              <w:t xml:space="preserve"> </w:t>
            </w:r>
            <w:r w:rsidR="00844587">
              <w:t>perneras y apoyo de pie hasta 90 grados de apertura y/o similar, 2 (dos) apoyabrazos con la correspondiente fijación, paneles de apoyo desmontables, un par de manijas para partos con fijación a los rieles laterales. Apoyo rodante adecuado a la estructura y freno total. Debe contar con un acolchado impermeable a líquidos, sin efecto de memoria.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587" w:rsidRPr="00DA782F" w:rsidRDefault="001015B5" w:rsidP="001015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MESA PARA ELECTROBISTURI</w:t>
            </w:r>
            <w:r w:rsidR="00844587">
              <w:rPr>
                <w:b/>
                <w:color w:val="000000"/>
                <w:sz w:val="24"/>
                <w:szCs w:val="24"/>
              </w:rPr>
              <w:br/>
            </w:r>
            <w:r w:rsidR="00844587">
              <w:t>De acero inoxidable y/o material resistente al oxido, de medidas aproximadas 50 x 60 cm, 70 cm de alto, con un estante y ruedas resistentes c/ traba de movimientos al rodaje.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Pr="00DA782F" w:rsidRDefault="001015B5" w:rsidP="001015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MESA AUXILIAR DE QUIROFANOS</w:t>
            </w:r>
            <w:r w:rsidR="00844587">
              <w:rPr>
                <w:b/>
                <w:color w:val="000000"/>
                <w:sz w:val="24"/>
                <w:szCs w:val="24"/>
              </w:rPr>
              <w:br/>
            </w:r>
            <w:r w:rsidR="00844587">
              <w:t>De acero inoxidable, con un estante, de 160 x 50 cm de ancho y profundidad, o semejante, y 85 cm de altura, que soporte hasta 50 kg de peso, con borde en los cuatro lados y dos empujadores laterales con ruedas resistentes y traba de movimientos.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Pr="00DA782F" w:rsidRDefault="001015B5" w:rsidP="001015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TABURETE PARA CIRUJANOS</w:t>
            </w:r>
            <w:r w:rsidR="00844587">
              <w:rPr>
                <w:b/>
                <w:color w:val="000000"/>
                <w:sz w:val="24"/>
                <w:szCs w:val="24"/>
              </w:rPr>
              <w:br/>
            </w:r>
            <w:r w:rsidR="00844587">
              <w:t>De material resistente al oxido, impermeable, resistente hasta 150 kg de peso, con 4 patas de apoyo, sin respaldo, con o sin ruedas, de altura regulable entre 0,70 metros y 1 metro, con apoya pie.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Pr="00DA782F" w:rsidRDefault="001015B5" w:rsidP="001015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CAMILLA DE TRANSPORTE DE PACIENTES </w:t>
            </w:r>
            <w:r w:rsidR="00844587">
              <w:rPr>
                <w:b/>
                <w:color w:val="000000"/>
                <w:sz w:val="24"/>
                <w:szCs w:val="24"/>
              </w:rPr>
              <w:br/>
            </w:r>
            <w:r w:rsidR="00844587">
              <w:t xml:space="preserve">Construida en acero inoxidable o acero tratado con pintura epoxi resistente al óxido, de 190 cm de largo, con cabecera regulable, que soporte hasta 150 kg de peso, con barandas desmontables, </w:t>
            </w:r>
            <w:proofErr w:type="spellStart"/>
            <w:r w:rsidR="00844587">
              <w:t>portasueros</w:t>
            </w:r>
            <w:proofErr w:type="spellEnd"/>
            <w:r w:rsidR="00844587">
              <w:t>, ruedas resistentes de 125 mm de diámetro o similares, con traba de movimientos, con acolchado impermeable, lavable y resistente de por lo menos 5 cm de espesor.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Pr="00DA782F" w:rsidRDefault="001015B5" w:rsidP="008445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CARROS DE ARMADO DE QUIROFANOS Y RECEPCION Y ENTREGA DE MATERIAL</w:t>
            </w:r>
            <w:r w:rsidR="00844587">
              <w:rPr>
                <w:b/>
                <w:color w:val="000000"/>
                <w:sz w:val="24"/>
                <w:szCs w:val="24"/>
              </w:rPr>
              <w:br/>
            </w:r>
            <w:r w:rsidR="00844587">
              <w:t>De acero inoxidable, de 85 cm de altura o similar, con un estante, con medidas aproximadas de 60 cm de ancho y 40 de profundidad, que soporten hasta 50 kg de peso, con ruedas de fácil deslizamiento y resistentes, con traba de movimientos.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Pr="00DA782F" w:rsidRDefault="001015B5" w:rsidP="001015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MESAS DE INSTRUMENTACION FINOCHIETTO</w:t>
            </w:r>
            <w:r w:rsidR="00844587">
              <w:rPr>
                <w:b/>
                <w:color w:val="000000"/>
                <w:sz w:val="24"/>
                <w:szCs w:val="24"/>
              </w:rPr>
              <w:br/>
            </w:r>
            <w:r w:rsidR="00844587">
              <w:t>Regulable en altura entre 0,70 y 1,10 metros de altura, de solida construcción en acero inoxidable, con superficie de trabajo aproximado de 1,00 metros por 0,50 metros, con ruedas de fácil deslizamiento y resistentes.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15B5" w:rsidRDefault="001015B5" w:rsidP="00101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Pr="00DA782F" w:rsidRDefault="001015B5" w:rsidP="001015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COLCHON TERMICO PARA CIRUGIAS (SISTEMA DE CALENTAMIENTO-COLCHON Y MANTA)</w:t>
            </w:r>
            <w:r w:rsidR="00844587">
              <w:rPr>
                <w:b/>
                <w:color w:val="000000"/>
                <w:sz w:val="24"/>
                <w:szCs w:val="24"/>
              </w:rPr>
              <w:br/>
            </w:r>
            <w:r w:rsidR="00844587">
              <w:t>Colchón reutilizable para adultos, impermeable a los líquidos, radio translucido, funcionamiento a aire calentado generado por la unidad correspondiente con posibilidad de variar la temperatura del mismo entre 20 y 40 grados centígrados.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15B5" w:rsidRDefault="001015B5" w:rsidP="00101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Pr="00DA782F" w:rsidRDefault="001015B5" w:rsidP="001015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ESCALERA DE 2 ESCALONES</w:t>
            </w:r>
            <w:r w:rsidR="00844587">
              <w:rPr>
                <w:b/>
                <w:color w:val="000000"/>
                <w:sz w:val="24"/>
                <w:szCs w:val="24"/>
              </w:rPr>
              <w:br/>
            </w:r>
            <w:r w:rsidR="00844587">
              <w:t>De aluminio o acero pintado con pintura epoxi, resistente al oxido, plegable o fija, con apoyo antideslizante.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15B5" w:rsidRPr="00B20943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B209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Pr="00DA782F" w:rsidRDefault="001015B5" w:rsidP="001015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MICROONDAS </w:t>
            </w:r>
            <w:r w:rsidR="00844587">
              <w:rPr>
                <w:b/>
                <w:color w:val="000000"/>
                <w:sz w:val="24"/>
                <w:szCs w:val="24"/>
              </w:rPr>
              <w:br/>
            </w:r>
            <w:r w:rsidR="00844587">
              <w:t>Uno de 20 litros (o similar), y otro de 30 litros (o similar).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15B5" w:rsidRPr="00B20943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B209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Pr="00DA782F" w:rsidRDefault="001015B5" w:rsidP="001015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RELOJ DE PARED</w:t>
            </w:r>
            <w:r w:rsidR="00844587">
              <w:rPr>
                <w:b/>
                <w:color w:val="000000"/>
                <w:sz w:val="24"/>
                <w:szCs w:val="24"/>
              </w:rPr>
              <w:br/>
            </w:r>
            <w:r w:rsidR="00844587">
              <w:t>Funcionamiento a pilas, de 25 a 35 cm de diámetro, preferentemente de color blanco.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15B5" w:rsidRPr="00B20943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Pr="00DA782F" w:rsidRDefault="001015B5" w:rsidP="001015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CARRO DE TRANSPORTE DE ROPA SUCIA</w:t>
            </w:r>
            <w:r w:rsidR="00844587">
              <w:rPr>
                <w:b/>
                <w:color w:val="000000"/>
                <w:sz w:val="24"/>
                <w:szCs w:val="24"/>
              </w:rPr>
              <w:br/>
            </w:r>
            <w:r w:rsidR="00844587">
              <w:t>De acero inoxidable o de acero pintado con pintura epoxi, recipiente de bolsa plástica lavable, con manija de empuje y ruedas de fácil deslizamiento.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27AF6" w:rsidRDefault="00727AF6" w:rsidP="00727AF6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5"/>
        <w:gridCol w:w="6208"/>
      </w:tblGrid>
      <w:tr w:rsidR="00727AF6" w:rsidTr="00F459BA">
        <w:trPr>
          <w:trHeight w:val="32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F459BA">
            <w:pPr>
              <w:jc w:val="center"/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>
              <w:rPr>
                <w:u w:val="single"/>
              </w:rPr>
              <w:t xml:space="preserve"> Entrega </w:t>
            </w:r>
            <w:r w:rsidRPr="00456AFF">
              <w:t>:</w:t>
            </w:r>
            <w:r>
              <w:rPr>
                <w:b/>
                <w:sz w:val="20"/>
                <w:szCs w:val="24"/>
              </w:rPr>
              <w:t xml:space="preserve">  30 días de recibida la Orden de Compra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B34D28" w:rsidRDefault="00727AF6" w:rsidP="00F459BA">
            <w:pPr>
              <w:jc w:val="both"/>
              <w:rPr>
                <w:sz w:val="20"/>
                <w:szCs w:val="20"/>
                <w:u w:val="single"/>
              </w:rPr>
            </w:pPr>
            <w:r w:rsidRPr="00B34D28">
              <w:rPr>
                <w:sz w:val="18"/>
                <w:szCs w:val="20"/>
                <w:u w:val="single"/>
              </w:rPr>
              <w:t>Pago</w:t>
            </w:r>
            <w:r w:rsidRPr="00B34D28">
              <w:rPr>
                <w:b/>
                <w:sz w:val="18"/>
                <w:szCs w:val="20"/>
              </w:rPr>
              <w:t xml:space="preserve">: El pago se formulará de manera mensual dentro de los 30 días </w:t>
            </w:r>
            <w:r w:rsidRPr="00B34D28">
              <w:rPr>
                <w:b/>
                <w:sz w:val="18"/>
                <w:szCs w:val="20"/>
              </w:rPr>
              <w:br/>
              <w:t>desde la presentación de la factura.</w:t>
            </w:r>
          </w:p>
        </w:tc>
      </w:tr>
      <w:tr w:rsidR="00727AF6" w:rsidTr="00F459BA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Contratación Directa N°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BC02C6">
              <w:rPr>
                <w:rFonts w:asciiTheme="minorHAnsi" w:hAnsiTheme="minorHAnsi" w:cs="Arial"/>
                <w:b/>
                <w:sz w:val="18"/>
                <w:szCs w:val="18"/>
              </w:rPr>
              <w:t>42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 xml:space="preserve">Lugar de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727AF6" w:rsidRPr="008A6840" w:rsidRDefault="00727AF6" w:rsidP="00F459BA"/>
        </w:tc>
      </w:tr>
    </w:tbl>
    <w:p w:rsidR="00727AF6" w:rsidRPr="008A6840" w:rsidRDefault="00727AF6" w:rsidP="00727AF6">
      <w:pPr>
        <w:spacing w:after="0" w:line="240" w:lineRule="auto"/>
      </w:pPr>
    </w:p>
    <w:p w:rsidR="008C5E23" w:rsidRPr="008A6840" w:rsidRDefault="008C5E23" w:rsidP="00B34D28">
      <w:pPr>
        <w:spacing w:after="0" w:line="240" w:lineRule="auto"/>
      </w:pPr>
      <w:bookmarkStart w:id="0" w:name="_GoBack"/>
      <w:bookmarkEnd w:id="0"/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81" w:rsidRDefault="005A5E81" w:rsidP="00B20579">
      <w:pPr>
        <w:spacing w:after="0" w:line="240" w:lineRule="auto"/>
      </w:pPr>
      <w:r>
        <w:separator/>
      </w:r>
    </w:p>
  </w:endnote>
  <w:endnote w:type="continuationSeparator" w:id="0">
    <w:p w:rsidR="005A5E81" w:rsidRDefault="005A5E81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Default="00B34D28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u w:val="single"/>
            </w:rPr>
            <w:t>Cañuelas</w:t>
          </w:r>
          <w:r>
            <w:rPr>
              <w:u w:val="single"/>
            </w:rPr>
            <w:t xml:space="preserve">, </w:t>
          </w:r>
          <w:r w:rsidR="00844587">
            <w:rPr>
              <w:u w:val="single"/>
            </w:rPr>
            <w:t>31</w:t>
          </w:r>
          <w:r w:rsidR="00B34D28">
            <w:rPr>
              <w:u w:val="single"/>
            </w:rPr>
            <w:t xml:space="preserve"> </w:t>
          </w:r>
          <w:r>
            <w:rPr>
              <w:u w:val="single"/>
            </w:rPr>
            <w:t xml:space="preserve">de </w:t>
          </w:r>
          <w:proofErr w:type="gramStart"/>
          <w:r w:rsidR="00983B86">
            <w:rPr>
              <w:u w:val="single"/>
            </w:rPr>
            <w:t>Agosto</w:t>
          </w:r>
          <w:proofErr w:type="gramEnd"/>
          <w:r w:rsidRPr="00666491">
            <w:rPr>
              <w:i/>
              <w:u w:val="single"/>
            </w:rPr>
            <w:t xml:space="preserve"> 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81" w:rsidRDefault="005A5E81" w:rsidP="00B20579">
      <w:pPr>
        <w:spacing w:after="0" w:line="240" w:lineRule="auto"/>
      </w:pPr>
      <w:r>
        <w:separator/>
      </w:r>
    </w:p>
  </w:footnote>
  <w:footnote w:type="continuationSeparator" w:id="0">
    <w:p w:rsidR="005A5E81" w:rsidRDefault="005A5E81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709B"/>
    <w:rsid w:val="0007436D"/>
    <w:rsid w:val="0008379F"/>
    <w:rsid w:val="00083B44"/>
    <w:rsid w:val="00091C8B"/>
    <w:rsid w:val="000941ED"/>
    <w:rsid w:val="00096143"/>
    <w:rsid w:val="000A078D"/>
    <w:rsid w:val="000A158A"/>
    <w:rsid w:val="000B01D4"/>
    <w:rsid w:val="000B5282"/>
    <w:rsid w:val="000E3AC2"/>
    <w:rsid w:val="001015B5"/>
    <w:rsid w:val="00111E9F"/>
    <w:rsid w:val="00114472"/>
    <w:rsid w:val="001243F1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5ABF"/>
    <w:rsid w:val="001D24EA"/>
    <w:rsid w:val="0020683C"/>
    <w:rsid w:val="00212B57"/>
    <w:rsid w:val="00213D02"/>
    <w:rsid w:val="00223431"/>
    <w:rsid w:val="00236439"/>
    <w:rsid w:val="00244AF0"/>
    <w:rsid w:val="0025651F"/>
    <w:rsid w:val="0026461B"/>
    <w:rsid w:val="00267AE6"/>
    <w:rsid w:val="00276948"/>
    <w:rsid w:val="002806EE"/>
    <w:rsid w:val="002A41A9"/>
    <w:rsid w:val="002C3101"/>
    <w:rsid w:val="00304E31"/>
    <w:rsid w:val="00331550"/>
    <w:rsid w:val="00344167"/>
    <w:rsid w:val="00360C53"/>
    <w:rsid w:val="003B2BA3"/>
    <w:rsid w:val="003B35D3"/>
    <w:rsid w:val="003C26AF"/>
    <w:rsid w:val="003C37E4"/>
    <w:rsid w:val="003D3D33"/>
    <w:rsid w:val="003D6D44"/>
    <w:rsid w:val="003D7567"/>
    <w:rsid w:val="003E272A"/>
    <w:rsid w:val="003F0F60"/>
    <w:rsid w:val="003F67FD"/>
    <w:rsid w:val="0040213C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17F"/>
    <w:rsid w:val="004A337B"/>
    <w:rsid w:val="004B7727"/>
    <w:rsid w:val="004C0F0F"/>
    <w:rsid w:val="004C6CE2"/>
    <w:rsid w:val="004D4680"/>
    <w:rsid w:val="004E25A7"/>
    <w:rsid w:val="004E49B7"/>
    <w:rsid w:val="004F504A"/>
    <w:rsid w:val="005140BF"/>
    <w:rsid w:val="00522470"/>
    <w:rsid w:val="00534B56"/>
    <w:rsid w:val="00537B0F"/>
    <w:rsid w:val="00547996"/>
    <w:rsid w:val="0055170B"/>
    <w:rsid w:val="0056101F"/>
    <w:rsid w:val="00564AAD"/>
    <w:rsid w:val="00570C6F"/>
    <w:rsid w:val="00585BCF"/>
    <w:rsid w:val="005A0706"/>
    <w:rsid w:val="005A5E81"/>
    <w:rsid w:val="005A6F99"/>
    <w:rsid w:val="005C2FC2"/>
    <w:rsid w:val="005C4643"/>
    <w:rsid w:val="005D04A1"/>
    <w:rsid w:val="005F3266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73CF8"/>
    <w:rsid w:val="006807D1"/>
    <w:rsid w:val="00680827"/>
    <w:rsid w:val="00692720"/>
    <w:rsid w:val="006A4E44"/>
    <w:rsid w:val="006B2D57"/>
    <w:rsid w:val="006E079F"/>
    <w:rsid w:val="006E1F25"/>
    <w:rsid w:val="006E5A37"/>
    <w:rsid w:val="00717750"/>
    <w:rsid w:val="00727AF6"/>
    <w:rsid w:val="00730627"/>
    <w:rsid w:val="00744EF6"/>
    <w:rsid w:val="00753C78"/>
    <w:rsid w:val="00781104"/>
    <w:rsid w:val="0079368A"/>
    <w:rsid w:val="00796218"/>
    <w:rsid w:val="007B4876"/>
    <w:rsid w:val="007E5305"/>
    <w:rsid w:val="008043F1"/>
    <w:rsid w:val="00832FD8"/>
    <w:rsid w:val="00833118"/>
    <w:rsid w:val="00844587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F195A"/>
    <w:rsid w:val="008F6F80"/>
    <w:rsid w:val="009175EC"/>
    <w:rsid w:val="00924A8D"/>
    <w:rsid w:val="009473D5"/>
    <w:rsid w:val="00947D1F"/>
    <w:rsid w:val="00947DE0"/>
    <w:rsid w:val="009566BB"/>
    <w:rsid w:val="00973177"/>
    <w:rsid w:val="00983B86"/>
    <w:rsid w:val="009A5398"/>
    <w:rsid w:val="009C2BD6"/>
    <w:rsid w:val="009C47C7"/>
    <w:rsid w:val="009D17AB"/>
    <w:rsid w:val="009D17D7"/>
    <w:rsid w:val="009D56FC"/>
    <w:rsid w:val="009E1AC1"/>
    <w:rsid w:val="009F2F52"/>
    <w:rsid w:val="009F60D2"/>
    <w:rsid w:val="009F682E"/>
    <w:rsid w:val="00A13D80"/>
    <w:rsid w:val="00A21E2E"/>
    <w:rsid w:val="00A37B2B"/>
    <w:rsid w:val="00A50753"/>
    <w:rsid w:val="00A71587"/>
    <w:rsid w:val="00A940EF"/>
    <w:rsid w:val="00A9520A"/>
    <w:rsid w:val="00AA1535"/>
    <w:rsid w:val="00AA3DA2"/>
    <w:rsid w:val="00AA4CD4"/>
    <w:rsid w:val="00AB17E6"/>
    <w:rsid w:val="00AB3185"/>
    <w:rsid w:val="00AB739F"/>
    <w:rsid w:val="00AC05FA"/>
    <w:rsid w:val="00AD54B0"/>
    <w:rsid w:val="00AE2B52"/>
    <w:rsid w:val="00B01746"/>
    <w:rsid w:val="00B12AFF"/>
    <w:rsid w:val="00B20579"/>
    <w:rsid w:val="00B22848"/>
    <w:rsid w:val="00B22AB1"/>
    <w:rsid w:val="00B34D28"/>
    <w:rsid w:val="00B71074"/>
    <w:rsid w:val="00B733C5"/>
    <w:rsid w:val="00B97484"/>
    <w:rsid w:val="00BC02C6"/>
    <w:rsid w:val="00BC1202"/>
    <w:rsid w:val="00BF7206"/>
    <w:rsid w:val="00C05D83"/>
    <w:rsid w:val="00C11CD5"/>
    <w:rsid w:val="00C16425"/>
    <w:rsid w:val="00C2232B"/>
    <w:rsid w:val="00C24ABD"/>
    <w:rsid w:val="00C31FB3"/>
    <w:rsid w:val="00C3420A"/>
    <w:rsid w:val="00C5326D"/>
    <w:rsid w:val="00C571E6"/>
    <w:rsid w:val="00C72A9C"/>
    <w:rsid w:val="00C87A28"/>
    <w:rsid w:val="00C901BA"/>
    <w:rsid w:val="00C974CC"/>
    <w:rsid w:val="00CA2FA3"/>
    <w:rsid w:val="00CA32DB"/>
    <w:rsid w:val="00CA7C26"/>
    <w:rsid w:val="00CB070D"/>
    <w:rsid w:val="00CC2486"/>
    <w:rsid w:val="00CE1A20"/>
    <w:rsid w:val="00CE4E64"/>
    <w:rsid w:val="00CE548F"/>
    <w:rsid w:val="00CF7834"/>
    <w:rsid w:val="00D037DA"/>
    <w:rsid w:val="00D22E4F"/>
    <w:rsid w:val="00D2453E"/>
    <w:rsid w:val="00D32AE9"/>
    <w:rsid w:val="00D41FCE"/>
    <w:rsid w:val="00D47A9D"/>
    <w:rsid w:val="00D6497A"/>
    <w:rsid w:val="00D64C8C"/>
    <w:rsid w:val="00D66D9F"/>
    <w:rsid w:val="00D7009D"/>
    <w:rsid w:val="00D73FA9"/>
    <w:rsid w:val="00D95E5A"/>
    <w:rsid w:val="00DA3482"/>
    <w:rsid w:val="00DA782F"/>
    <w:rsid w:val="00DA7CD2"/>
    <w:rsid w:val="00DB17B4"/>
    <w:rsid w:val="00DC737E"/>
    <w:rsid w:val="00E147DF"/>
    <w:rsid w:val="00E25849"/>
    <w:rsid w:val="00E274DB"/>
    <w:rsid w:val="00E30CC5"/>
    <w:rsid w:val="00E34CB6"/>
    <w:rsid w:val="00E35D02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53BC"/>
    <w:rsid w:val="00EE128D"/>
    <w:rsid w:val="00EE66FB"/>
    <w:rsid w:val="00EF0831"/>
    <w:rsid w:val="00EF4D3E"/>
    <w:rsid w:val="00F12DEC"/>
    <w:rsid w:val="00F25907"/>
    <w:rsid w:val="00F4565B"/>
    <w:rsid w:val="00F5020A"/>
    <w:rsid w:val="00F73B13"/>
    <w:rsid w:val="00F754F7"/>
    <w:rsid w:val="00F83332"/>
    <w:rsid w:val="00F849EB"/>
    <w:rsid w:val="00F8608D"/>
    <w:rsid w:val="00FA615D"/>
    <w:rsid w:val="00FC7A6E"/>
    <w:rsid w:val="00FD7881"/>
    <w:rsid w:val="00FF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99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8342-6B72-4404-A77B-863EBD6B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7</cp:revision>
  <cp:lastPrinted>2017-08-29T18:03:00Z</cp:lastPrinted>
  <dcterms:created xsi:type="dcterms:W3CDTF">2017-08-31T17:54:00Z</dcterms:created>
  <dcterms:modified xsi:type="dcterms:W3CDTF">2017-08-31T18:08:00Z</dcterms:modified>
</cp:coreProperties>
</file>