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7E76F0">
              <w:rPr>
                <w:b/>
                <w:sz w:val="40"/>
                <w:szCs w:val="32"/>
              </w:rPr>
              <w:t>49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E876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</w:t>
            </w:r>
            <w:r w:rsidR="007E76F0">
              <w:rPr>
                <w:b/>
                <w:sz w:val="24"/>
                <w:szCs w:val="24"/>
              </w:rPr>
              <w:t>26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7E76F0">
              <w:rPr>
                <w:b/>
                <w:sz w:val="24"/>
                <w:szCs w:val="24"/>
              </w:rPr>
              <w:t>9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7E76F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7E76F0">
              <w:rPr>
                <w:b/>
                <w:i/>
                <w:sz w:val="20"/>
                <w:szCs w:val="20"/>
              </w:rPr>
              <w:t xml:space="preserve">Heladeras y </w:t>
            </w:r>
            <w:proofErr w:type="spellStart"/>
            <w:r w:rsidR="007E76F0">
              <w:rPr>
                <w:b/>
                <w:i/>
                <w:sz w:val="20"/>
                <w:szCs w:val="20"/>
              </w:rPr>
              <w:t>freezers</w:t>
            </w:r>
            <w:proofErr w:type="spellEnd"/>
            <w:r w:rsidR="007E76F0">
              <w:rPr>
                <w:b/>
                <w:i/>
                <w:sz w:val="20"/>
                <w:szCs w:val="20"/>
              </w:rPr>
              <w:t xml:space="preserve"> para diversos sectores de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7E76F0">
              <w:rPr>
                <w:b/>
              </w:rPr>
              <w:t>6</w:t>
            </w:r>
            <w:r w:rsidR="00DC3024" w:rsidRPr="00DC3024">
              <w:rPr>
                <w:b/>
              </w:rPr>
              <w:t>1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7E76F0">
              <w:rPr>
                <w:b/>
              </w:rPr>
              <w:t>25</w:t>
            </w:r>
            <w:r w:rsidRPr="004A0663">
              <w:rPr>
                <w:b/>
              </w:rPr>
              <w:t>/0</w:t>
            </w:r>
            <w:r w:rsidR="007E76F0">
              <w:rPr>
                <w:b/>
              </w:rPr>
              <w:t>9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7E76F0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04</w:t>
            </w:r>
            <w:r w:rsidR="00990750" w:rsidRPr="00DC3024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octubre</w:t>
            </w:r>
            <w:r w:rsidR="00DC3024" w:rsidRPr="00DC3024"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 w:rsidR="00DC3024" w:rsidRPr="00DC3024">
              <w:rPr>
                <w:b/>
                <w:sz w:val="28"/>
                <w:szCs w:val="28"/>
              </w:rPr>
              <w:t>1</w:t>
            </w:r>
            <w:r w:rsidR="00DD588B" w:rsidRPr="00DC3024">
              <w:rPr>
                <w:b/>
                <w:sz w:val="28"/>
                <w:szCs w:val="28"/>
              </w:rPr>
              <w:t>:00 hs.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6F0" w:rsidRPr="00E63095" w:rsidRDefault="007E76F0" w:rsidP="007E76F0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Refrigerador vertical, con capacidad de aproximadam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</w:t>
            </w: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nte 500 litros</w:t>
            </w:r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:rsidR="007E76F0" w:rsidRPr="00E63095" w:rsidRDefault="007E76F0" w:rsidP="007E76F0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Gabinete inyectado en poliuretano revestido en chapa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prepintada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pintura epoxi, con film de polietileno extraíble para su protección. Interior en ABS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termocontraible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lavable con guía incorporada con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treso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más niveles de rejillas regulables protegidas con pintura epoxi </w:t>
            </w:r>
            <w:proofErr w:type="gram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sanitaria .</w:t>
            </w:r>
            <w:proofErr w:type="gram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Puerta batiente con sistema de bisagras superpuestas, doble vidriado hermético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termopanel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Sistema de iluminación interior en sentido horizontal con tubo fluorescente. Protegido con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policarbonato.con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panel digital de temperatura, </w:t>
            </w: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alarma lumínica y sonora</w:t>
            </w:r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7F06EF" w:rsidRPr="00F97103" w:rsidRDefault="007F06EF" w:rsidP="007F06E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E76F0" w:rsidP="007F06EF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F97103" w:rsidRDefault="007F06EF" w:rsidP="007F06EF"/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6F0" w:rsidRPr="00E63095" w:rsidRDefault="007E76F0" w:rsidP="007E76F0">
            <w:pPr>
              <w:pStyle w:val="NormalWeb"/>
              <w:spacing w:before="0" w:beforeAutospacing="0" w:after="0" w:afterAutospacing="0"/>
              <w:rPr>
                <w:b/>
                <w:i/>
              </w:rPr>
            </w:pP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Refrigerador vertical, con capacidad de aproximadam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</w:t>
            </w: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nte 120 litros. </w:t>
            </w:r>
          </w:p>
          <w:p w:rsidR="007E76F0" w:rsidRPr="00E63095" w:rsidRDefault="007E76F0" w:rsidP="007E76F0">
            <w:pPr>
              <w:pStyle w:val="NormalWeb"/>
              <w:spacing w:before="0" w:beforeAutospacing="0" w:after="0" w:afterAutospacing="0"/>
              <w:rPr>
                <w:i/>
              </w:rPr>
            </w:pPr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Gabinete inyectado en poliuretano revestido en chapa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prepintada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en pintura epoxi, con film de polietileno extraíble para su protección. Interior en ABS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termocontraible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lavable con guía incorporada con dos más niveles de rejillas regulables protegidas con pintura epoxi </w:t>
            </w:r>
            <w:proofErr w:type="gram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sanitaria .</w:t>
            </w:r>
            <w:proofErr w:type="gram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Puerta batiente con sistema de bisagras superpuestas, doble vidriado hermético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termopanel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 Sistema de iluminación interior en sentido horizontal con tubo fluorescente. Protegido con </w:t>
            </w:r>
            <w:proofErr w:type="spellStart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policarbonato.con</w:t>
            </w:r>
            <w:proofErr w:type="spellEnd"/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panel digital de temperatura, </w:t>
            </w:r>
            <w:r w:rsidRPr="00E6309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alarma lumínica y sonora</w:t>
            </w:r>
            <w:r w:rsidRPr="00E6309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7E76F0" w:rsidRPr="00E63095" w:rsidRDefault="007E76F0" w:rsidP="007E76F0">
            <w:pPr>
              <w:rPr>
                <w:b/>
                <w:i/>
              </w:rPr>
            </w:pPr>
            <w:r w:rsidRPr="00E63095">
              <w:rPr>
                <w:b/>
                <w:i/>
              </w:rPr>
              <w:lastRenderedPageBreak/>
              <w:t>Altura máxima 95 cm.</w:t>
            </w:r>
          </w:p>
          <w:p w:rsidR="007F06EF" w:rsidRPr="000E05FE" w:rsidRDefault="007F06EF" w:rsidP="007F06E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E76F0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6F0" w:rsidRDefault="007E76F0" w:rsidP="007E76F0">
            <w:pPr>
              <w:rPr>
                <w:b/>
              </w:rPr>
            </w:pPr>
            <w:r>
              <w:rPr>
                <w:b/>
              </w:rPr>
              <w:t xml:space="preserve">Refrigerador tipo </w:t>
            </w:r>
            <w:proofErr w:type="spellStart"/>
            <w:r>
              <w:rPr>
                <w:b/>
              </w:rPr>
              <w:t>bajomesada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con capacidad de 120 litros, tipo </w:t>
            </w:r>
            <w:proofErr w:type="spellStart"/>
            <w:r>
              <w:rPr>
                <w:b/>
              </w:rPr>
              <w:t>linea</w:t>
            </w:r>
            <w:proofErr w:type="spellEnd"/>
            <w:r>
              <w:rPr>
                <w:b/>
              </w:rPr>
              <w:t xml:space="preserve"> blanca, con congelador, altura máxima de 95 cm</w:t>
            </w:r>
          </w:p>
          <w:p w:rsidR="007F06EF" w:rsidRPr="000E05FE" w:rsidRDefault="007F06EF" w:rsidP="007F06E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E76F0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6F0" w:rsidRDefault="007E76F0" w:rsidP="007E76F0">
            <w:pPr>
              <w:rPr>
                <w:b/>
              </w:rPr>
            </w:pPr>
            <w:r>
              <w:rPr>
                <w:b/>
              </w:rPr>
              <w:t>Heladera famil</w:t>
            </w:r>
            <w:r>
              <w:rPr>
                <w:b/>
              </w:rPr>
              <w:t xml:space="preserve">iar con </w:t>
            </w:r>
            <w:proofErr w:type="spellStart"/>
            <w:r>
              <w:rPr>
                <w:b/>
              </w:rPr>
              <w:t>freezer</w:t>
            </w:r>
            <w:proofErr w:type="spellEnd"/>
            <w:r>
              <w:rPr>
                <w:b/>
              </w:rPr>
              <w:t>, tip</w:t>
            </w:r>
            <w:r>
              <w:rPr>
                <w:b/>
              </w:rPr>
              <w:t>o línea blanca con capacidad de 300 litros aproximadamente,</w:t>
            </w:r>
          </w:p>
          <w:p w:rsidR="007E76F0" w:rsidRDefault="007E76F0" w:rsidP="007E76F0">
            <w:pPr>
              <w:rPr>
                <w:b/>
              </w:rPr>
            </w:pPr>
            <w:r>
              <w:rPr>
                <w:b/>
              </w:rPr>
              <w:t>Doble puerta.</w:t>
            </w:r>
          </w:p>
          <w:p w:rsidR="007F06EF" w:rsidRPr="00AF086D" w:rsidRDefault="007F06EF" w:rsidP="007F06E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E76F0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76F0" w:rsidRDefault="007E76F0" w:rsidP="007E76F0">
            <w:pPr>
              <w:rPr>
                <w:b/>
              </w:rPr>
            </w:pPr>
            <w:proofErr w:type="spellStart"/>
            <w:r>
              <w:rPr>
                <w:b/>
              </w:rPr>
              <w:t>Fre</w:t>
            </w:r>
            <w:r>
              <w:rPr>
                <w:b/>
              </w:rPr>
              <w:t>ezer</w:t>
            </w:r>
            <w:proofErr w:type="spellEnd"/>
            <w:r>
              <w:rPr>
                <w:b/>
              </w:rPr>
              <w:t xml:space="preserve"> vertical – 20 ° C, con entre 3 y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</w:rPr>
              <w:t>4 cajones rebatibles, tipo línea blanca.</w:t>
            </w:r>
          </w:p>
          <w:p w:rsidR="007F06EF" w:rsidRPr="009A771A" w:rsidRDefault="007F06EF" w:rsidP="007F06E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E76F0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7E76F0">
              <w:rPr>
                <w:b/>
                <w:sz w:val="20"/>
                <w:szCs w:val="24"/>
              </w:rPr>
              <w:t>30 días</w:t>
            </w:r>
            <w:r w:rsidR="00E37439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DC3024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7E76F0">
              <w:rPr>
                <w:rFonts w:asciiTheme="minorHAnsi" w:hAnsiTheme="minorHAnsi" w:cs="Arial"/>
                <w:b/>
                <w:sz w:val="18"/>
                <w:szCs w:val="18"/>
              </w:rPr>
              <w:t>9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01" w:rsidRDefault="00080401" w:rsidP="00B20579">
      <w:pPr>
        <w:spacing w:after="0" w:line="240" w:lineRule="auto"/>
      </w:pPr>
      <w:r>
        <w:separator/>
      </w:r>
    </w:p>
  </w:endnote>
  <w:endnote w:type="continuationSeparator" w:id="0">
    <w:p w:rsidR="00080401" w:rsidRDefault="00080401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E876A6">
            <w:rPr>
              <w:u w:val="single"/>
            </w:rPr>
            <w:t xml:space="preserve"> </w:t>
          </w:r>
          <w:r w:rsidR="007E76F0">
            <w:rPr>
              <w:u w:val="single"/>
            </w:rPr>
            <w:t>26 de septiembre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01" w:rsidRDefault="00080401" w:rsidP="00B20579">
      <w:pPr>
        <w:spacing w:after="0" w:line="240" w:lineRule="auto"/>
      </w:pPr>
      <w:r>
        <w:separator/>
      </w:r>
    </w:p>
  </w:footnote>
  <w:footnote w:type="continuationSeparator" w:id="0">
    <w:p w:rsidR="00080401" w:rsidRDefault="00080401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0401"/>
    <w:rsid w:val="0008379F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C672A"/>
    <w:rsid w:val="006E1F25"/>
    <w:rsid w:val="006E5A37"/>
    <w:rsid w:val="00717750"/>
    <w:rsid w:val="00730627"/>
    <w:rsid w:val="0073667D"/>
    <w:rsid w:val="00744EF6"/>
    <w:rsid w:val="00753C78"/>
    <w:rsid w:val="00781104"/>
    <w:rsid w:val="00796218"/>
    <w:rsid w:val="007B4876"/>
    <w:rsid w:val="007E5305"/>
    <w:rsid w:val="007E76F0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6A00"/>
    <w:rsid w:val="00DA782F"/>
    <w:rsid w:val="00DA7CD2"/>
    <w:rsid w:val="00DC3024"/>
    <w:rsid w:val="00DC737E"/>
    <w:rsid w:val="00DD588B"/>
    <w:rsid w:val="00E10F81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876A6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E56069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0895-5220-4673-9FB7-0B9AC8C2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3</cp:revision>
  <cp:lastPrinted>2017-05-11T21:37:00Z</cp:lastPrinted>
  <dcterms:created xsi:type="dcterms:W3CDTF">2017-09-26T14:13:00Z</dcterms:created>
  <dcterms:modified xsi:type="dcterms:W3CDTF">2017-09-26T14:22:00Z</dcterms:modified>
</cp:coreProperties>
</file>